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162</w:t>
      </w:r>
    </w:p>
    <w:p>
      <w:r>
        <w:t>Bundesgericht (BGE), 1976-06-11, DE</w:t>
      </w:r>
    </w:p>
    <w:p>
      <w:r>
        <w:rPr>
          <w:b/>
        </w:rPr>
        <w:t xml:space="preserve">Quelle: </w:t>
      </w:r>
      <w:r>
        <w:t>https://mcp.opencaselaw.ch/entscheid/bge_102 IV 162</w:t>
      </w:r>
    </w:p>
    <w:p>
      <w:r>
        <w:t>FR: ATF 102 IV 162</w:t>
      </w:r>
    </w:p>
    <w:p>
      <w:r>
        <w:t>IT: DTF 102 IV 162</w:t>
      </w:r>
    </w:p>
    <w:p>
      <w:pPr>
        <w:pStyle w:val="Heading2"/>
      </w:pPr>
      <w:r>
        <w:t>Regeste</w:t>
      </w:r>
    </w:p>
    <w:p>
      <w:r>
        <w:t>Regeste Art. 110 Ziff. 3 StGB. Ob ein vorübergehender Spitalaufenthalt die Hausgemeinschaft aufhebt, hängt von den Umständen des Einzelfalles ab.</w:t>
      </w:r>
    </w:p>
    <w:p>
      <w:pPr>
        <w:pStyle w:val="Heading2"/>
      </w:pPr>
      <w:r>
        <w:t>Erwägungen</w:t>
      </w:r>
    </w:p>
    <w:p>
      <w:r>
        <w:rPr>
          <w:b/>
        </w:rPr>
        <w:t>E. 1</w:t>
      </w:r>
    </w:p>
    <w:p>
      <w:r>
        <w:t>Die Verurteilung wegen Betruges zum Nachteil von R. ist nicht angefochten und in Rechtskraft erwachsen. Hinsichtlich des Urteils der Vorinstanz macht der Beschwerdeführer geltend, er sei Familiengenosse des Geschädigten Y. Dieser habe aber den Strafantrag vor der erstinstanzlichen Verurteilung zurückgezogen, so dass die Verurteilung wegen Veruntreuung zu Unrecht erfolgt sei.</w:t>
      </w:r>
    </w:p>
    <w:p>
      <w:r>
        <w:rPr>
          <w:b/>
        </w:rPr>
        <w:t>E. 2</w:t>
      </w:r>
    </w:p>
    <w:p>
      <w:r>
        <w:t>Der von der Vorinstanz festgestellte Sachverhalt erfüllt zweifelsfrei den Tatbestand der Veruntreuung. Zu prüfen ist deshalb lediglich, ob der Beschwerdeführer und Y. Familiengenossen im Sinne von Art. 110 Ziff. 3 StGB waren, so dass die Veruntreuung des Beschwerdeführers zum Nachteil des Y. nur auf Antrag verfolgt werden könnte ( Art. 140 Ziff. 3 StGB ). a) Familiengenossen sind Personen, die im gemeinsamen Haushalte leben ( Art. 110 Ziff. 3 StGB ). Grund der Privilegierung ist nach der Rechtsprechung der Hausfrieden ( BGE 72 IV 6 , BGE 86 IV 159 ). Das Gesetz will durch das Antragserfordernis den Hausfrieden unter Personen begünstigen, die durch gemeinsames Haushalten eine Hausgemeinschaft bilden, die derjenigen unter den Gliedern ein und derselben Familie nahe kommt. Dazu gehört, dass zwei oder mehr Personen gemeinsam essen und wohnen und unter einem gemeinsamen Dache schlafen ( BGE 72 IV 6 , BGE 86 IV 158 ff.). b) Der Beschwerdeführer behauptet, er habe seit Januar 1975 und jedenfalls im Zeitpunkt der Tat mit dem Geschädigten BGE 102 IV 162 S. 164 Y. im Hause seiner Mutter gelebt und sei in dieser Zeit Familiengenosse des Y. gewesen. Der Kreisgerichtsausschuss hat diese Behauptung jedoch mit der Begründung verneint, der Beschwerdeführer habe bis Ende August 1975 seine Schriften in Zürich eingelegt gehabt und er sei bis zu diesem Zeitpunkt nur unregelmässig nach P. gekommen. Der Ort, wo eine Person ihre Schriften hinterlegt, kann lediglich ein Indiz dafür sein, dass sie auch an diesem Ort ihren Wohnsitz im Sinne von Art. 23 ZGB hat. Es schliesst dies nicht aus, dass sie in Wirklichkeit an einem anderen Ort wohnt. Mit Recht hat daher die Vorinstanz dem Umstand, dass der Beschwerdeführer die Schriften in Zürich eingelegt hat, hinsichtlich des Wohnsitzes keine entscheidende Bedeutung beigemessen. Die Vorinstanz bemerkt sodann, es möge durchaus der Fall sein, dass der Beschwerdeführer seit Januar 1975 im Hause seiner Mutter gewohnt habe. Damit ist die gegenteilige Annahme der ersten Instanz aufgehoben und die Frage offen gelassen, wo der Beschwerdeführer zur Zeit der Tat seinen Wohnsitz gehabt hat. c) Die Vorinstanz hat den betreffenden Punkt deshalb nicht abgeklärt, weil sie fand, Y. habe sich seit dem 10. Juli 1975 im Kantonsspital befunden. Damit sei eine allfällige Hausgemeinschaft mit dem Beschwerdeführer bereits anderthalb Monate vor der Tat aufgehoben worden. Es stellt sich somit die Frage, ob ein krankheitsbedingter Spitalaufenthalt die Familiengemeinschaft im Sinne von Art. 110 Ziff. 3 StGB aufhebt. Die Beantwortung der Frage hängt von den Umständen des Einzelfalles ab. Ein Spitalaufenthalt kann Anlass dafür sein, dass der Erkrankte die frühere Hausgemeinschaft aufhebt und den Willen bekundet, nicht mehr an den früheren Ort zurückzukehren. Dass dem im vorliegenden Fall so war, geht weder aus dem angefochtenen Urteil noch aus den Akten hervor. Sollte Y. im Gegenteil seine Effekten im Hause der Mutter des Beschwerdeführers gelassen und die Absicht gehabt haben, nach einer in absehbarer Zeit zu erwartenden Spitalentlassung wieder in die dortige Hausgemeinschaft zurückzukehren und wurde auch von den anderen im selben Haushalt lebenden Personen die Hausgemeinschaft nicht aufgehoben, so handelt es sich nur um eine vorübergehende Unterbrechung gemeinsamen BGE 102 IV 162 S. 165 Wohnens, welche das Band der Familiengenossenschaft zwar während einer bestimmten Zeit lockert, ohne es aber aufzuheben. Das ist anzunehmen, wenn Möbel oder Effekten des kranken Hausgenossen in der Wohnung bleiben mit der Absicht, die Hausgemeinschaft nach der krankheitsbedingten Abwesenheit wenigstens vorübergehend fortzusetzen. In solchen Fällen erscheint es nicht angezeigt, dass eine Strafverfolgung von Amtes wegen eine Hausgemeinschaft gegen den Willen des Verletzten störe und einer allenfalls vom Verletzten gewünschten Fortsetzung der Hausgemeinschaft entgegenwirke. Es verhält sich hier nicht wesentlich anders als mit Militärdienst, Ferien, Geschäftsreisen, beruflichen Kursen, welche das unmittelbare Zusammenleben zwar vorübergehend unterbrechen, ohne aber die Gemeinschaft als solche aufzulösen. d) Die Vorinstanz wird daher prüfen müssen, ob der Beschwerdeführer und Y. während dessen Spitalaufenthalt Familiengenossen im Sinne der angestellten Erwägungen geblieben sind. Sollte dies zutreffen, wäre die Verurteilung wegen Veruntreuung mangels Strafantrages aufzuheben und die Strafe neu zuzumessen.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